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41B2E" w14:textId="7D343C4C" w:rsidR="00A84344" w:rsidRDefault="00434AD7">
      <w:pPr>
        <w:bidi/>
        <w:spacing w:before="240" w:after="240"/>
        <w:jc w:val="center"/>
        <w:rPr>
          <w:b/>
          <w:bCs/>
          <w:sz w:val="32"/>
          <w:szCs w:val="32"/>
        </w:rPr>
      </w:pPr>
      <w:r>
        <w:rPr>
          <w:b/>
          <w:bCs/>
          <w:sz w:val="32"/>
          <w:szCs w:val="32"/>
          <w:rtl/>
        </w:rPr>
        <w:t>بيان صحفي</w:t>
      </w:r>
      <w:r>
        <w:rPr>
          <w:b/>
          <w:bCs/>
          <w:sz w:val="32"/>
          <w:szCs w:val="32"/>
          <w:rtl/>
        </w:rPr>
        <w:br/>
        <w:t xml:space="preserve"> الرباط، </w:t>
      </w:r>
      <w:r w:rsidR="007538B1">
        <w:rPr>
          <w:b/>
          <w:bCs/>
          <w:sz w:val="32"/>
          <w:szCs w:val="32"/>
        </w:rPr>
        <w:t>0</w:t>
      </w:r>
      <w:r w:rsidR="00E067A4">
        <w:rPr>
          <w:b/>
          <w:bCs/>
          <w:sz w:val="32"/>
          <w:szCs w:val="32"/>
        </w:rPr>
        <w:t>7</w:t>
      </w:r>
      <w:r w:rsidR="001F4C97" w:rsidRPr="001F4C97">
        <w:rPr>
          <w:rtl/>
        </w:rPr>
        <w:t xml:space="preserve"> </w:t>
      </w:r>
      <w:r w:rsidR="001F4C97" w:rsidRPr="001F4C97">
        <w:rPr>
          <w:b/>
          <w:bCs/>
          <w:sz w:val="32"/>
          <w:szCs w:val="32"/>
          <w:rtl/>
        </w:rPr>
        <w:t>أبريل</w:t>
      </w:r>
      <w:r>
        <w:rPr>
          <w:b/>
          <w:bCs/>
          <w:sz w:val="32"/>
          <w:szCs w:val="32"/>
          <w:rtl/>
        </w:rPr>
        <w:t xml:space="preserve"> 2026</w:t>
      </w:r>
    </w:p>
    <w:p w14:paraId="1903BD95" w14:textId="77777777" w:rsidR="00A84344" w:rsidRDefault="00434AD7">
      <w:pPr>
        <w:bidi/>
        <w:spacing w:before="240" w:after="240"/>
        <w:jc w:val="center"/>
        <w:rPr>
          <w:b/>
          <w:bCs/>
        </w:rPr>
      </w:pPr>
      <w:r>
        <w:rPr>
          <w:b/>
          <w:bCs/>
          <w:rtl/>
        </w:rPr>
        <w:t>إطلاق دليل أكسفورد للاقتصاد المغربي: عمل مرجعي لفهم التحول الاقتصادي في المغرب</w:t>
      </w:r>
    </w:p>
    <w:p w14:paraId="7ED4B293" w14:textId="77777777" w:rsidR="00E067A4" w:rsidRDefault="00E067A4" w:rsidP="00D46518">
      <w:pPr>
        <w:bidi/>
        <w:spacing w:before="240" w:after="240"/>
        <w:jc w:val="both"/>
        <w:rPr>
          <w:lang w:val="fr-FR"/>
        </w:rPr>
      </w:pPr>
    </w:p>
    <w:p w14:paraId="30DD153A" w14:textId="6E60B9CA" w:rsidR="00E067A4" w:rsidRDefault="00E067A4" w:rsidP="00E067A4">
      <w:pPr>
        <w:bidi/>
        <w:spacing w:before="240" w:after="240"/>
        <w:jc w:val="both"/>
        <w:rPr>
          <w:lang w:val="fr-FR"/>
        </w:rPr>
      </w:pPr>
      <w:proofErr w:type="spellStart"/>
      <w:proofErr w:type="gramStart"/>
      <w:r w:rsidRPr="00E067A4">
        <w:rPr>
          <w:lang w:val="fr-FR"/>
        </w:rPr>
        <w:t>ينظم</w:t>
      </w:r>
      <w:proofErr w:type="spellEnd"/>
      <w:proofErr w:type="gramEnd"/>
      <w:r w:rsidRPr="00E067A4">
        <w:rPr>
          <w:lang w:val="fr-FR"/>
        </w:rPr>
        <w:t xml:space="preserve"> </w:t>
      </w:r>
      <w:proofErr w:type="spellStart"/>
      <w:r w:rsidRPr="00E067A4">
        <w:rPr>
          <w:lang w:val="fr-FR"/>
        </w:rPr>
        <w:t>مركز</w:t>
      </w:r>
      <w:proofErr w:type="spellEnd"/>
      <w:r w:rsidRPr="00E067A4">
        <w:rPr>
          <w:lang w:val="fr-FR"/>
        </w:rPr>
        <w:t xml:space="preserve"> </w:t>
      </w:r>
      <w:proofErr w:type="spellStart"/>
      <w:r w:rsidRPr="00E067A4">
        <w:rPr>
          <w:lang w:val="fr-FR"/>
        </w:rPr>
        <w:t>السياسات</w:t>
      </w:r>
      <w:proofErr w:type="spellEnd"/>
      <w:r w:rsidRPr="00E067A4">
        <w:rPr>
          <w:lang w:val="fr-FR"/>
        </w:rPr>
        <w:t xml:space="preserve"> </w:t>
      </w:r>
      <w:proofErr w:type="spellStart"/>
      <w:r w:rsidRPr="00E067A4">
        <w:rPr>
          <w:lang w:val="fr-FR"/>
        </w:rPr>
        <w:t>من</w:t>
      </w:r>
      <w:proofErr w:type="spellEnd"/>
      <w:r w:rsidRPr="00E067A4">
        <w:rPr>
          <w:lang w:val="fr-FR"/>
        </w:rPr>
        <w:t xml:space="preserve"> </w:t>
      </w:r>
      <w:proofErr w:type="spellStart"/>
      <w:r w:rsidRPr="00E067A4">
        <w:rPr>
          <w:lang w:val="fr-FR"/>
        </w:rPr>
        <w:t>أجل</w:t>
      </w:r>
      <w:proofErr w:type="spellEnd"/>
      <w:r w:rsidRPr="00E067A4">
        <w:rPr>
          <w:lang w:val="fr-FR"/>
        </w:rPr>
        <w:t xml:space="preserve"> </w:t>
      </w:r>
      <w:proofErr w:type="spellStart"/>
      <w:r w:rsidRPr="00E067A4">
        <w:rPr>
          <w:lang w:val="fr-FR"/>
        </w:rPr>
        <w:t>الجنوب</w:t>
      </w:r>
      <w:proofErr w:type="spellEnd"/>
      <w:r w:rsidRPr="00E067A4">
        <w:rPr>
          <w:lang w:val="fr-FR"/>
        </w:rPr>
        <w:t xml:space="preserve"> </w:t>
      </w:r>
      <w:proofErr w:type="spellStart"/>
      <w:r w:rsidRPr="00E067A4">
        <w:rPr>
          <w:lang w:val="fr-FR"/>
        </w:rPr>
        <w:t>الجديد</w:t>
      </w:r>
      <w:proofErr w:type="spellEnd"/>
      <w:r w:rsidRPr="00E067A4">
        <w:rPr>
          <w:lang w:val="fr-FR"/>
        </w:rPr>
        <w:t xml:space="preserve"> </w:t>
      </w:r>
      <w:proofErr w:type="spellStart"/>
      <w:r w:rsidRPr="00E067A4">
        <w:rPr>
          <w:lang w:val="fr-FR"/>
        </w:rPr>
        <w:t>حفل</w:t>
      </w:r>
      <w:proofErr w:type="spellEnd"/>
      <w:r w:rsidRPr="00E067A4">
        <w:rPr>
          <w:lang w:val="fr-FR"/>
        </w:rPr>
        <w:t xml:space="preserve"> </w:t>
      </w:r>
      <w:proofErr w:type="spellStart"/>
      <w:r w:rsidRPr="00E067A4">
        <w:rPr>
          <w:lang w:val="fr-FR"/>
        </w:rPr>
        <w:t>إطلاق</w:t>
      </w:r>
      <w:proofErr w:type="spellEnd"/>
      <w:r w:rsidRPr="00E067A4">
        <w:rPr>
          <w:lang w:val="fr-FR"/>
        </w:rPr>
        <w:t xml:space="preserve"> ”</w:t>
      </w:r>
      <w:proofErr w:type="spellStart"/>
      <w:r w:rsidRPr="00E067A4">
        <w:rPr>
          <w:lang w:val="fr-FR"/>
        </w:rPr>
        <w:t>دليل</w:t>
      </w:r>
      <w:proofErr w:type="spellEnd"/>
      <w:r w:rsidRPr="00E067A4">
        <w:rPr>
          <w:lang w:val="fr-FR"/>
        </w:rPr>
        <w:t xml:space="preserve"> </w:t>
      </w:r>
      <w:proofErr w:type="spellStart"/>
      <w:r w:rsidRPr="00E067A4">
        <w:rPr>
          <w:lang w:val="fr-FR"/>
        </w:rPr>
        <w:t>أكسفورد</w:t>
      </w:r>
      <w:proofErr w:type="spellEnd"/>
      <w:r w:rsidRPr="00E067A4">
        <w:rPr>
          <w:lang w:val="fr-FR"/>
        </w:rPr>
        <w:t xml:space="preserve"> </w:t>
      </w:r>
      <w:proofErr w:type="spellStart"/>
      <w:r w:rsidRPr="00E067A4">
        <w:rPr>
          <w:lang w:val="fr-FR"/>
        </w:rPr>
        <w:t>للاقتصاد</w:t>
      </w:r>
      <w:proofErr w:type="spellEnd"/>
      <w:r w:rsidRPr="00E067A4">
        <w:rPr>
          <w:lang w:val="fr-FR"/>
        </w:rPr>
        <w:t xml:space="preserve"> </w:t>
      </w:r>
      <w:proofErr w:type="spellStart"/>
      <w:r w:rsidRPr="00E067A4">
        <w:rPr>
          <w:lang w:val="fr-FR"/>
        </w:rPr>
        <w:t>المغربي</w:t>
      </w:r>
      <w:proofErr w:type="spellEnd"/>
      <w:r w:rsidRPr="00E067A4">
        <w:rPr>
          <w:lang w:val="fr-FR"/>
        </w:rPr>
        <w:t xml:space="preserve">“ </w:t>
      </w:r>
      <w:proofErr w:type="spellStart"/>
      <w:r w:rsidRPr="00E067A4">
        <w:rPr>
          <w:lang w:val="fr-FR"/>
        </w:rPr>
        <w:t>يومي</w:t>
      </w:r>
      <w:proofErr w:type="spellEnd"/>
      <w:r w:rsidRPr="00E067A4">
        <w:rPr>
          <w:lang w:val="fr-FR"/>
        </w:rPr>
        <w:t xml:space="preserve"> 9 و10 </w:t>
      </w:r>
      <w:proofErr w:type="spellStart"/>
      <w:r w:rsidRPr="00E067A4">
        <w:rPr>
          <w:lang w:val="fr-FR"/>
        </w:rPr>
        <w:t>أبريل</w:t>
      </w:r>
      <w:proofErr w:type="spellEnd"/>
      <w:r w:rsidRPr="00E067A4">
        <w:rPr>
          <w:lang w:val="fr-FR"/>
        </w:rPr>
        <w:t xml:space="preserve"> 2026، </w:t>
      </w:r>
      <w:proofErr w:type="spellStart"/>
      <w:r w:rsidRPr="00E067A4">
        <w:rPr>
          <w:lang w:val="fr-FR"/>
        </w:rPr>
        <w:t>في</w:t>
      </w:r>
      <w:proofErr w:type="spellEnd"/>
      <w:r w:rsidRPr="00E067A4">
        <w:rPr>
          <w:lang w:val="fr-FR"/>
        </w:rPr>
        <w:t xml:space="preserve"> </w:t>
      </w:r>
      <w:proofErr w:type="spellStart"/>
      <w:r w:rsidRPr="00E067A4">
        <w:rPr>
          <w:lang w:val="fr-FR"/>
        </w:rPr>
        <w:t>مقره</w:t>
      </w:r>
      <w:proofErr w:type="spellEnd"/>
      <w:r w:rsidRPr="00E067A4">
        <w:rPr>
          <w:lang w:val="fr-FR"/>
        </w:rPr>
        <w:t xml:space="preserve"> </w:t>
      </w:r>
      <w:proofErr w:type="spellStart"/>
      <w:r w:rsidRPr="00E067A4">
        <w:rPr>
          <w:lang w:val="fr-FR"/>
        </w:rPr>
        <w:t>الكائن</w:t>
      </w:r>
      <w:proofErr w:type="spellEnd"/>
      <w:r w:rsidRPr="00E067A4">
        <w:rPr>
          <w:lang w:val="fr-FR"/>
        </w:rPr>
        <w:t xml:space="preserve"> </w:t>
      </w:r>
      <w:proofErr w:type="spellStart"/>
      <w:r w:rsidRPr="00E067A4">
        <w:rPr>
          <w:lang w:val="fr-FR"/>
        </w:rPr>
        <w:t>في</w:t>
      </w:r>
      <w:proofErr w:type="spellEnd"/>
      <w:r w:rsidRPr="00E067A4">
        <w:rPr>
          <w:lang w:val="fr-FR"/>
        </w:rPr>
        <w:t xml:space="preserve"> </w:t>
      </w:r>
      <w:proofErr w:type="spellStart"/>
      <w:r w:rsidRPr="00E067A4">
        <w:rPr>
          <w:lang w:val="fr-FR"/>
        </w:rPr>
        <w:t>حرم</w:t>
      </w:r>
      <w:proofErr w:type="spellEnd"/>
      <w:r w:rsidRPr="00E067A4">
        <w:rPr>
          <w:lang w:val="fr-FR"/>
        </w:rPr>
        <w:t xml:space="preserve"> </w:t>
      </w:r>
      <w:proofErr w:type="spellStart"/>
      <w:r w:rsidRPr="00E067A4">
        <w:rPr>
          <w:lang w:val="fr-FR"/>
        </w:rPr>
        <w:t>جامعة</w:t>
      </w:r>
      <w:proofErr w:type="spellEnd"/>
      <w:r w:rsidRPr="00E067A4">
        <w:rPr>
          <w:lang w:val="fr-FR"/>
        </w:rPr>
        <w:t xml:space="preserve"> </w:t>
      </w:r>
      <w:proofErr w:type="spellStart"/>
      <w:r w:rsidRPr="00E067A4">
        <w:rPr>
          <w:lang w:val="fr-FR"/>
        </w:rPr>
        <w:t>محمد</w:t>
      </w:r>
      <w:proofErr w:type="spellEnd"/>
      <w:r w:rsidRPr="00E067A4">
        <w:rPr>
          <w:lang w:val="fr-FR"/>
        </w:rPr>
        <w:t xml:space="preserve"> </w:t>
      </w:r>
      <w:proofErr w:type="spellStart"/>
      <w:r w:rsidRPr="00E067A4">
        <w:rPr>
          <w:lang w:val="fr-FR"/>
        </w:rPr>
        <w:t>السادس</w:t>
      </w:r>
      <w:proofErr w:type="spellEnd"/>
      <w:r w:rsidRPr="00E067A4">
        <w:rPr>
          <w:lang w:val="fr-FR"/>
        </w:rPr>
        <w:t xml:space="preserve"> (UM6P) </w:t>
      </w:r>
      <w:proofErr w:type="spellStart"/>
      <w:r w:rsidRPr="00E067A4">
        <w:rPr>
          <w:lang w:val="fr-FR"/>
        </w:rPr>
        <w:t>في</w:t>
      </w:r>
      <w:proofErr w:type="spellEnd"/>
      <w:r w:rsidRPr="00E067A4">
        <w:rPr>
          <w:lang w:val="fr-FR"/>
        </w:rPr>
        <w:t xml:space="preserve"> </w:t>
      </w:r>
      <w:proofErr w:type="spellStart"/>
      <w:r w:rsidRPr="00E067A4">
        <w:rPr>
          <w:lang w:val="fr-FR"/>
        </w:rPr>
        <w:t>الرباط</w:t>
      </w:r>
      <w:proofErr w:type="spellEnd"/>
    </w:p>
    <w:p w14:paraId="4BBC7595" w14:textId="15CB3C82" w:rsidR="005A0CF1" w:rsidRPr="00E067A4" w:rsidRDefault="005A0CF1" w:rsidP="00E067A4">
      <w:pPr>
        <w:bidi/>
        <w:spacing w:before="240" w:after="240"/>
        <w:jc w:val="both"/>
        <w:rPr>
          <w:lang w:val="fr-FR"/>
        </w:rPr>
      </w:pPr>
      <w:r w:rsidRPr="005A0CF1">
        <w:rPr>
          <w:rtl/>
        </w:rPr>
        <w:t xml:space="preserve">يضم "دليل أكسفورد للاقتصاد المغربي" (مطبعة جامعة أكسفورد)، تحت إشراف كريم العيناوي وأركبي </w:t>
      </w:r>
      <w:proofErr w:type="spellStart"/>
      <w:r w:rsidRPr="005A0CF1">
        <w:rPr>
          <w:rtl/>
        </w:rPr>
        <w:t>اوكوباي</w:t>
      </w:r>
      <w:proofErr w:type="spellEnd"/>
      <w:r w:rsidRPr="005A0CF1">
        <w:rPr>
          <w:rtl/>
        </w:rPr>
        <w:t xml:space="preserve">، 34 فصلًا، يشارك فيه أكثر من 53 مساهماً، ويقدم تحليلًا هيكلياً لتطور الاقتصاد المغربي من عام 1960 إلى عام 2025. </w:t>
      </w:r>
    </w:p>
    <w:p w14:paraId="5D4A9374" w14:textId="66CFC4C4" w:rsidR="007131F5" w:rsidRPr="00E067A4" w:rsidRDefault="007131F5" w:rsidP="005A0CF1">
      <w:pPr>
        <w:bidi/>
        <w:spacing w:before="240" w:after="240"/>
        <w:jc w:val="both"/>
        <w:rPr>
          <w:lang w:val="fr-FR"/>
        </w:rPr>
      </w:pPr>
      <w:r w:rsidRPr="007131F5">
        <w:rPr>
          <w:rtl/>
        </w:rPr>
        <w:t>صُمم هذا الكتاب ليكون دليلاً مرجعياً يقدم إطاراً تحليلياً منهجياً حول السمات البارزة، والتوجهات طويلة الأمد، والتحولات القطاعية، وقضايا السياسة العامة الكبرى التي ترسم ملامح المسار الاقتصادي للمغرب. كما يهدف إلى تحديث وإثراء المعارف المتاحة حول الاقتصاد الوطني، وتقديم خلاصة هيكلية مستندة إلى أسس علمية تيسّر وصول الباحثين والطلبة وصناع القرار والممارسين إليها</w:t>
      </w:r>
      <w:r w:rsidRPr="00E067A4">
        <w:rPr>
          <w:lang w:val="fr-FR"/>
        </w:rPr>
        <w:t>.</w:t>
      </w:r>
    </w:p>
    <w:p w14:paraId="2320F954" w14:textId="77777777" w:rsidR="00A84344" w:rsidRDefault="00434AD7" w:rsidP="00D46518">
      <w:pPr>
        <w:bidi/>
        <w:spacing w:before="240"/>
        <w:jc w:val="both"/>
        <w:rPr>
          <w:b/>
          <w:bCs/>
          <w:color w:val="0070C0"/>
        </w:rPr>
      </w:pPr>
      <w:r>
        <w:rPr>
          <w:b/>
          <w:bCs/>
          <w:color w:val="0070C0"/>
          <w:rtl/>
        </w:rPr>
        <w:t>قراءة تحليلية للمسار المغربي</w:t>
      </w:r>
    </w:p>
    <w:p w14:paraId="4309DD56" w14:textId="77777777" w:rsidR="00A84344" w:rsidRDefault="00434AD7" w:rsidP="00D46518">
      <w:pPr>
        <w:bidi/>
        <w:spacing w:before="240" w:after="240"/>
        <w:jc w:val="both"/>
      </w:pPr>
      <w:r>
        <w:rPr>
          <w:rtl/>
        </w:rPr>
        <w:t xml:space="preserve">شهد المغرب تغيرات عميقة في العقود الأخيرة. ففي الفترة ما بين عامي 1971 و2024، سجلت المملكة معدل نمو سنوي للناتج المحلي الإجمالي بنسبة %4.13 في المتوسط، ومعدل نمو سنوي لنصيب الفرد من الناتج المحلي الإجمالي بنسبة </w:t>
      </w:r>
      <w:r>
        <w:rPr>
          <w:rtl/>
        </w:rPr>
        <w:br/>
        <w:t>%2.33. وخلال نفس الفترة، ارتفع متوسط العمر المتوقع من 47 سنة في عام 1960 إلى 73 سنة في عام 2025، بينما تقلصت الفجوة في متوسط العمر المتوقع بين المناطق الريفية والحضرية من 14 سنة إلى 5 سنوات.</w:t>
      </w:r>
    </w:p>
    <w:p w14:paraId="6C7D1391" w14:textId="77777777" w:rsidR="00A84344" w:rsidRDefault="00434AD7" w:rsidP="00D46518">
      <w:pPr>
        <w:bidi/>
        <w:spacing w:before="240" w:after="240"/>
        <w:jc w:val="both"/>
      </w:pPr>
      <w:r>
        <w:rPr>
          <w:rtl/>
        </w:rPr>
        <w:t>ومع ذلك، يوضح الدليل أن مسار المغرب لا يمكن فهمه فقط من حيث المجاميع الاقتصادية الكلية أو التقدم الاجتماعي الذي يقاس من الناحية الكمية. بل يجب تحليله أيضًا في ضوء ديناميات التحول الهيكلي والتغيرات في الإنتاجية وتنويع النسيج الإنتاجي ونوعية العمالة والقدرات التكنولوجية والمؤسسات التي توفر إطارًا للنشاط الاقتصادي.</w:t>
      </w:r>
    </w:p>
    <w:p w14:paraId="15648E06" w14:textId="77777777" w:rsidR="00A84344" w:rsidRDefault="00434AD7" w:rsidP="00D46518">
      <w:pPr>
        <w:bidi/>
        <w:spacing w:before="240" w:after="240"/>
        <w:jc w:val="both"/>
      </w:pPr>
      <w:r>
        <w:rPr>
          <w:rtl/>
        </w:rPr>
        <w:t>بين عامي 2000 و2025، عزز المغرب اندماجه في الاقتصاد العالمي، وطور تجمعات صناعية جديدة ووطد قاعدته التصديرية، وذلك بفضل الاتفاقيات التجارية الاستراتيجية مع الاتحاد الأوروبي والولايات المتحدة على وجه الخصوص، فضلاً عن الدبلوماسية الاقتصادية النشطة في أفريقيا. يركز هذا الدليل على الكيفية التي أدى بها هذا الانفتاح إلى استمرار جذب الاستثمار الأجنبي المباشر واندماج البلد في بعض سلاسل القيمة العالمية، لا سيما في صناعات السيارات والطيران.</w:t>
      </w:r>
    </w:p>
    <w:p w14:paraId="4DA948D5" w14:textId="6AFA9503" w:rsidR="00A84344" w:rsidRDefault="00434AD7" w:rsidP="00D46518">
      <w:pPr>
        <w:bidi/>
        <w:spacing w:before="240" w:after="240"/>
        <w:jc w:val="both"/>
      </w:pPr>
      <w:r>
        <w:rPr>
          <w:rtl/>
        </w:rPr>
        <w:t>ومن النتائج الرئيسية التي توصل إليها الدليل هي أن التحول الذي شهده المغرب كان مدعوما بمزيج م</w:t>
      </w:r>
      <w:r w:rsidRPr="001F62C5">
        <w:rPr>
          <w:rtl/>
        </w:rPr>
        <w:t>ن إطار</w:t>
      </w:r>
      <w:r w:rsidR="001F62C5" w:rsidRPr="001F62C5">
        <w:rPr>
          <w:rtl/>
        </w:rPr>
        <w:t xml:space="preserve"> ماكروـ</w:t>
      </w:r>
      <w:r w:rsidR="001F62C5">
        <w:t xml:space="preserve"> </w:t>
      </w:r>
      <w:r>
        <w:rPr>
          <w:rtl/>
        </w:rPr>
        <w:t xml:space="preserve">اقتصادي مستقر نسبياً، واستثمارات ضخمة في البنية التحتية، </w:t>
      </w:r>
      <w:r w:rsidR="0001144A">
        <w:rPr>
          <w:rFonts w:hint="cs"/>
          <w:rtl/>
        </w:rPr>
        <w:t>و</w:t>
      </w:r>
      <w:r w:rsidR="0001144A" w:rsidRPr="00972069">
        <w:rPr>
          <w:rStyle w:val="lev"/>
          <w:rFonts w:ascii="Arial" w:hAnsi="Arial" w:cs="Arial"/>
          <w:color w:val="0A0A0A"/>
          <w:shd w:val="clear" w:color="auto" w:fill="FFFFFF"/>
          <w:rtl/>
        </w:rPr>
        <w:t>تحسن</w:t>
      </w:r>
      <w:r w:rsidR="00322147" w:rsidRPr="00322147">
        <w:rPr>
          <w:rStyle w:val="lev"/>
          <w:rFonts w:ascii="Arial" w:hAnsi="Arial" w:cs="Arial"/>
          <w:b w:val="0"/>
          <w:bCs w:val="0"/>
          <w:color w:val="0A0A0A"/>
          <w:shd w:val="clear" w:color="auto" w:fill="FFFFFF"/>
          <w:rtl/>
        </w:rPr>
        <w:t xml:space="preserve"> البيئة التنظيمية</w:t>
      </w:r>
      <w:r>
        <w:rPr>
          <w:rtl/>
        </w:rPr>
        <w:t xml:space="preserve">، </w:t>
      </w:r>
      <w:r w:rsidR="002B4987" w:rsidRPr="002B4987">
        <w:rPr>
          <w:rtl/>
        </w:rPr>
        <w:t>والبروز التدريجي لوكالات تنظيمية مستقلة، إضافة إلى تعزيز قدرة الدولة وهيئاتها على التنسيق الشامل في إدارة السياسات الاقتصادية</w:t>
      </w:r>
      <w:r w:rsidRPr="002B4987">
        <w:rPr>
          <w:rtl/>
        </w:rPr>
        <w:t>. وبهذه الطريقة، أثبتت البلاد</w:t>
      </w:r>
      <w:r>
        <w:rPr>
          <w:rtl/>
        </w:rPr>
        <w:t xml:space="preserve"> قدرتها على التكيف في مواجهة الصدمات المتعددة، سواء كانت الأزمة المالية لعام 2008، أو جائحة كوفيد-19، أو الاستجابة للمطالب الاجتماعية، أو الحرب في أوكرانيا، أو موجات الجفاف المتكررة، أو زلزال الحوز.</w:t>
      </w:r>
    </w:p>
    <w:p w14:paraId="725BE63F" w14:textId="3B291A18" w:rsidR="00A84344" w:rsidRDefault="00434AD7" w:rsidP="00D46518">
      <w:pPr>
        <w:bidi/>
        <w:spacing w:before="240" w:after="240"/>
        <w:jc w:val="both"/>
      </w:pPr>
      <w:r>
        <w:rPr>
          <w:rtl/>
        </w:rPr>
        <w:t xml:space="preserve">ومع ذلك، يسلط الدليل الضوء على الطابع غير المكتمل لهذا التحول. فعلى الرغم من أن المغرب قد خطا خطوة </w:t>
      </w:r>
      <w:proofErr w:type="gramStart"/>
      <w:r>
        <w:rPr>
          <w:rtl/>
        </w:rPr>
        <w:t>هامة</w:t>
      </w:r>
      <w:proofErr w:type="gramEnd"/>
      <w:r>
        <w:rPr>
          <w:rtl/>
        </w:rPr>
        <w:t xml:space="preserve"> نحو الاندماج الدولي والتنويع الإنتاجي، إلا أن المكاسب الإنتاجية لا تزال غير كافية على المستوى الإجمالي، و</w:t>
      </w:r>
      <w:r w:rsidR="005A1287" w:rsidRPr="00090CD8">
        <w:rPr>
          <w:rtl/>
        </w:rPr>
        <w:t xml:space="preserve">لا تزال الآثار غير </w:t>
      </w:r>
      <w:r w:rsidR="005A1287" w:rsidRPr="00090CD8">
        <w:rPr>
          <w:rtl/>
        </w:rPr>
        <w:lastRenderedPageBreak/>
        <w:t xml:space="preserve">المباشرة تمتد بشكل جزئي فقط داخل النسيج الاقتصادي، كما يظل أثرها على دينامية الاستثمار الخاص المحلي، والابتكار الوطني، وخلق فرص عمل لائقة دون مستوى </w:t>
      </w:r>
      <w:r w:rsidR="00090CD8" w:rsidRPr="00090CD8">
        <w:rPr>
          <w:rtl/>
        </w:rPr>
        <w:t>التوقعات</w:t>
      </w:r>
      <w:r>
        <w:rPr>
          <w:rtl/>
        </w:rPr>
        <w:t>.</w:t>
      </w:r>
    </w:p>
    <w:p w14:paraId="4A9CFB0B" w14:textId="3F1DEEB4" w:rsidR="00A84344" w:rsidRDefault="0008774A" w:rsidP="00D46518">
      <w:pPr>
        <w:bidi/>
        <w:spacing w:before="240" w:after="240"/>
        <w:jc w:val="both"/>
      </w:pPr>
      <w:r>
        <w:rPr>
          <w:rFonts w:hint="cs"/>
          <w:rtl/>
        </w:rPr>
        <w:t>وفي</w:t>
      </w:r>
      <w:r w:rsidR="00434AD7">
        <w:rPr>
          <w:rtl/>
        </w:rPr>
        <w:t xml:space="preserve"> هذا الصدد، يوضح دليل أكسفورد للاقتصاد المغربي أن التحدي الرئيسي للاقتصاد المغربي لم يعد مجرد الانفتاح أو استقرار الاقتصاد الكلي، بل هو تحدٍ جديد يتمحور حول الارتقاء في سلم </w:t>
      </w:r>
      <w:r w:rsidR="001F62C5">
        <w:rPr>
          <w:rFonts w:hint="cs"/>
          <w:rtl/>
        </w:rPr>
        <w:t>الإنتاج، وتطوير</w:t>
      </w:r>
      <w:r w:rsidR="00434AD7">
        <w:rPr>
          <w:rtl/>
        </w:rPr>
        <w:t xml:space="preserve"> </w:t>
      </w:r>
      <w:r>
        <w:rPr>
          <w:rFonts w:hint="cs"/>
          <w:rtl/>
        </w:rPr>
        <w:t>آثار غي</w:t>
      </w:r>
      <w:r>
        <w:rPr>
          <w:rFonts w:hint="eastAsia"/>
          <w:rtl/>
        </w:rPr>
        <w:t>ر</w:t>
      </w:r>
      <w:r>
        <w:t xml:space="preserve"> </w:t>
      </w:r>
      <w:r w:rsidR="00434AD7">
        <w:rPr>
          <w:rtl/>
        </w:rPr>
        <w:t xml:space="preserve">مباشرة محلية أكثر كثافة وتعزيز القدرات التكنولوجية، والاستثمار في رأس المال البشري والبحث، </w:t>
      </w:r>
      <w:r w:rsidR="006503D3" w:rsidRPr="006503D3">
        <w:rPr>
          <w:rtl/>
        </w:rPr>
        <w:t>العمل على توسيع نطاق امتداد التحول الهيكلي داخل الاقتصاد.</w:t>
      </w:r>
    </w:p>
    <w:p w14:paraId="0357AE17" w14:textId="77777777" w:rsidR="00A84344" w:rsidRDefault="00434AD7" w:rsidP="00D46518">
      <w:pPr>
        <w:bidi/>
        <w:spacing w:before="240"/>
        <w:jc w:val="both"/>
        <w:rPr>
          <w:b/>
          <w:bCs/>
          <w:color w:val="0070C0"/>
        </w:rPr>
      </w:pPr>
      <w:r>
        <w:rPr>
          <w:b/>
          <w:bCs/>
          <w:color w:val="0070C0"/>
          <w:rtl/>
        </w:rPr>
        <w:t>دليل يركز على القضايا الاقتصادية الرئيسية في المغرب</w:t>
      </w:r>
    </w:p>
    <w:p w14:paraId="55BE5AB5" w14:textId="1C869369" w:rsidR="00A84344" w:rsidRDefault="00434AD7" w:rsidP="00D46518">
      <w:pPr>
        <w:bidi/>
        <w:spacing w:before="240" w:after="240"/>
        <w:jc w:val="both"/>
      </w:pPr>
      <w:r>
        <w:rPr>
          <w:rtl/>
        </w:rPr>
        <w:t>وتتناول فصول الدليل القضايا الرئيسية التي</w:t>
      </w:r>
      <w:r w:rsidR="002C7B94" w:rsidRPr="002C7B94">
        <w:rPr>
          <w:rtl/>
        </w:rPr>
        <w:t xml:space="preserve"> ترسم ملامح النقاش الاقتصادي الراهن في المغرب</w:t>
      </w:r>
      <w:r>
        <w:rPr>
          <w:rtl/>
        </w:rPr>
        <w:t xml:space="preserve">: التحول الهيكلي والإنتاجية والتصنيع والسياسات الصناعية والبحث والابتكار وتنمية القطاع الخاص والاندماج في سلاسل القيمة العالمية وسوق العمل والقطاع غير الرسمي والفقر وعدم المساواة والتعليم والصحة </w:t>
      </w:r>
      <w:r w:rsidR="008F1887">
        <w:rPr>
          <w:rFonts w:hint="cs"/>
          <w:rtl/>
        </w:rPr>
        <w:t>والانتقال</w:t>
      </w:r>
      <w:r>
        <w:rPr>
          <w:rtl/>
        </w:rPr>
        <w:t xml:space="preserve"> الطاقي والتنمية الجهوية.</w:t>
      </w:r>
    </w:p>
    <w:p w14:paraId="02AAADFF" w14:textId="7F69D6BA" w:rsidR="00A84344" w:rsidRDefault="00434AD7" w:rsidP="00D46518">
      <w:pPr>
        <w:bidi/>
        <w:spacing w:before="240" w:after="240"/>
        <w:jc w:val="both"/>
      </w:pPr>
      <w:r>
        <w:rPr>
          <w:rtl/>
        </w:rPr>
        <w:t xml:space="preserve">وتوضح هذه الدراسات على وجه الخصوص أن التصنيع لا يمكن اختزاله في تدابير تعريفية أو حوافز لمرة واحدة. فهو يعتمد على القدرة على بناء أنظمة إنتاجية متماسكة، وضمان استقرار الإطار </w:t>
      </w:r>
      <w:r w:rsidR="00D46518" w:rsidRPr="00D46518">
        <w:rPr>
          <w:rtl/>
        </w:rPr>
        <w:t>الماكروـ اقتصادي</w:t>
      </w:r>
      <w:r>
        <w:rPr>
          <w:rtl/>
        </w:rPr>
        <w:t xml:space="preserve">، وتطوير بنى تحتية عالية الأداء، وتدريب القوى العاملة، </w:t>
      </w:r>
      <w:r w:rsidR="008F1887" w:rsidRPr="00580154">
        <w:rPr>
          <w:rFonts w:hint="cs"/>
          <w:rtl/>
        </w:rPr>
        <w:t>وإرساء</w:t>
      </w:r>
      <w:r w:rsidR="00580154" w:rsidRPr="00580154">
        <w:rPr>
          <w:rtl/>
        </w:rPr>
        <w:t xml:space="preserve"> الشروط المؤسسية المتعددة الكفيلة بفتح آفاق الاستثمار القادر على المنافسة عالمياً</w:t>
      </w:r>
      <w:r w:rsidRPr="00793D2D">
        <w:rPr>
          <w:b/>
          <w:bCs/>
          <w:rtl/>
        </w:rPr>
        <w:t>.</w:t>
      </w:r>
    </w:p>
    <w:p w14:paraId="68E1B3C0" w14:textId="77777777" w:rsidR="00A84344" w:rsidRDefault="00434AD7" w:rsidP="00D46518">
      <w:pPr>
        <w:bidi/>
        <w:spacing w:before="240" w:after="240"/>
        <w:jc w:val="both"/>
      </w:pPr>
      <w:r>
        <w:rPr>
          <w:rtl/>
        </w:rPr>
        <w:t>ويشدد الدليل أيضاً على أن التنمية ليست عملية خطية ولا يمكن اختزالها في وصفة واحدة. فهي عملية معقدة وتراكمية وتجريبية في كثير من الأحيان، وتتطلب التعلم وتعديل السياسات والقدرة على التصحيح والاتساق مع مرور الوقت. وفي هذا الصدد، يتم تحليل الحالة المغربية ليس كنموذج يجب استنساخه، بل كتجربة تنموية يجب دراستها بدقة في خصوصيتها التاريخية والمؤسسية.</w:t>
      </w:r>
    </w:p>
    <w:p w14:paraId="35B9BBB9" w14:textId="77777777" w:rsidR="00A84344" w:rsidRDefault="00434AD7" w:rsidP="00D46518">
      <w:pPr>
        <w:bidi/>
        <w:spacing w:before="240" w:after="240"/>
        <w:jc w:val="both"/>
      </w:pPr>
      <w:r>
        <w:rPr>
          <w:rtl/>
        </w:rPr>
        <w:t>ومن ثم فإن الدليل متميز في نهجه: فهو ليس ممارسة احتفالية ولا نداءً معيارياً. فهو يقدم قراءة متوازنة ونقدية وقائمة على الأدلة للتقدم المحرز والقيود المستمرة والمقايضات التي تؤثر على مسارات التنمية.</w:t>
      </w:r>
    </w:p>
    <w:p w14:paraId="31637310" w14:textId="77777777" w:rsidR="00A84344" w:rsidRDefault="00434AD7" w:rsidP="00D46518">
      <w:pPr>
        <w:bidi/>
        <w:spacing w:before="240" w:after="240"/>
        <w:jc w:val="both"/>
      </w:pPr>
      <w:r>
        <w:rPr>
          <w:rtl/>
        </w:rPr>
        <w:t>يشكل هذا الدليل، المخصص للأكاديميين والباحثين وصناع القرار العام والجهات الفاعلة في القطاع الخاص والطلاب، مرجعاً لفهم الاقتصاد المغربي بكل عمقه التاريخي وتعقيداته القطاعية وقضاياه المعاصرة. والهدف منه هو توفير أساس تجريبي متين ومنظم وسهل الفهم.</w:t>
      </w:r>
    </w:p>
    <w:p w14:paraId="4F41F1E5" w14:textId="77777777" w:rsidR="00A84344" w:rsidRDefault="00434AD7" w:rsidP="00D46518">
      <w:pPr>
        <w:bidi/>
        <w:spacing w:before="240"/>
        <w:jc w:val="both"/>
        <w:rPr>
          <w:b/>
          <w:bCs/>
          <w:color w:val="0070C0"/>
        </w:rPr>
      </w:pPr>
      <w:r>
        <w:rPr>
          <w:b/>
          <w:bCs/>
          <w:color w:val="0070C0"/>
          <w:rtl/>
        </w:rPr>
        <w:t>مساهمة تندرج ضمن مهمة مركز السياسات للجنوب الجديد</w:t>
      </w:r>
    </w:p>
    <w:p w14:paraId="2FE9CA2A" w14:textId="77777777" w:rsidR="00A84344" w:rsidRDefault="00434AD7" w:rsidP="00D46518">
      <w:pPr>
        <w:bidi/>
        <w:spacing w:before="240" w:after="240"/>
        <w:jc w:val="both"/>
      </w:pPr>
      <w:r>
        <w:rPr>
          <w:rtl/>
        </w:rPr>
        <w:t>يندرج نشر هذا الدليل في إطار مهمة مركز السياسات من أجل الجنوب الجديد، وهو مؤسسة ذات منفعة عامة تهدف إلى المساهمة في النقاش الاستراتيجي وصياغة السياسات العامة في المغرب والقارة الأفريقية. ومن خلال تقديم ملخص دقيق وسهل المنال يستند إلى التحليل التجريبي، يأتي هذا الدليل مكملاً لمنشورات مركز السياسات المخصصة لمسارات التنمية والإصلاحات الاقتصادية والتحولات الهيكلية.</w:t>
      </w:r>
    </w:p>
    <w:p w14:paraId="36FD7D48" w14:textId="77777777" w:rsidR="00A84344" w:rsidRDefault="00434AD7" w:rsidP="00D46518">
      <w:pPr>
        <w:bidi/>
        <w:spacing w:before="240"/>
        <w:jc w:val="both"/>
        <w:rPr>
          <w:b/>
          <w:bCs/>
          <w:color w:val="0070C0"/>
        </w:rPr>
      </w:pPr>
      <w:r>
        <w:rPr>
          <w:b/>
          <w:bCs/>
          <w:color w:val="0070C0"/>
          <w:rtl/>
        </w:rPr>
        <w:t>الوصول المفتوح إلى المعرفة</w:t>
      </w:r>
    </w:p>
    <w:p w14:paraId="35BC0CB2" w14:textId="77777777" w:rsidR="00A84344" w:rsidRDefault="00434AD7" w:rsidP="00D46518">
      <w:pPr>
        <w:bidi/>
        <w:spacing w:before="240" w:after="240"/>
        <w:jc w:val="both"/>
      </w:pPr>
      <w:r>
        <w:rPr>
          <w:rtl/>
        </w:rPr>
        <w:t>الدليل متاح مجانًا على الموقعين الإلكترونيين لمركز السياسات للجنوب الجديد ومطبعة جامعة أكسفورد، لضمان توزيعه على أوسع نطاق ممكن على الباحثين والطلاب وصانعي السياسات وعامة الناس. ويعكس هذا الاختيار قناعة بسيطة: المعرفة الاقتصادية الدقيقة هي منفعة عامة أساسية تثري العمل العام وتثري النقاش الوطني وتعزز الحوار بين الباحثين والممارسين والمسؤولين الحكوميين.</w:t>
      </w:r>
    </w:p>
    <w:p w14:paraId="0A3FE4D4" w14:textId="564539FB" w:rsidR="00D11050" w:rsidRDefault="00434AD7" w:rsidP="00E067A4">
      <w:pPr>
        <w:bidi/>
        <w:spacing w:before="240" w:after="240"/>
      </w:pPr>
      <w:r>
        <w:rPr>
          <w:rtl/>
        </w:rPr>
        <w:lastRenderedPageBreak/>
        <w:t xml:space="preserve">الدليل متاح على الرابط التالي: </w:t>
      </w:r>
      <w:r>
        <w:rPr>
          <w:rtl/>
        </w:rPr>
        <w:br/>
      </w:r>
      <w:hyperlink r:id="rId7">
        <w:r w:rsidR="00D11050">
          <w:rPr>
            <w:color w:val="1155CC"/>
            <w:u w:val="single"/>
          </w:rPr>
          <w:t>https://www.policycenter.ma/oxford-handbook-economy-morocco</w:t>
        </w:r>
      </w:hyperlink>
    </w:p>
    <w:p w14:paraId="50F80784" w14:textId="02BED3B1" w:rsidR="00A84344" w:rsidRPr="00D11050" w:rsidRDefault="00A84344" w:rsidP="00D46518">
      <w:pPr>
        <w:jc w:val="both"/>
      </w:pPr>
    </w:p>
    <w:p w14:paraId="503A5C86" w14:textId="77777777" w:rsidR="00A84344" w:rsidRDefault="00434AD7" w:rsidP="00D46518">
      <w:pPr>
        <w:bidi/>
        <w:spacing w:before="240"/>
        <w:jc w:val="both"/>
        <w:rPr>
          <w:b/>
          <w:bCs/>
          <w:color w:val="0070C0"/>
        </w:rPr>
      </w:pPr>
      <w:r>
        <w:rPr>
          <w:b/>
          <w:bCs/>
          <w:color w:val="0070C0"/>
          <w:rtl/>
        </w:rPr>
        <w:t>نبذة عن الناشرين</w:t>
      </w:r>
    </w:p>
    <w:p w14:paraId="69FC73C4" w14:textId="77777777" w:rsidR="00A84344" w:rsidRPr="00705ACB" w:rsidRDefault="00434AD7" w:rsidP="00D46518">
      <w:pPr>
        <w:bidi/>
        <w:spacing w:before="240"/>
        <w:jc w:val="both"/>
        <w:rPr>
          <w:color w:val="222222"/>
          <w:highlight w:val="white"/>
        </w:rPr>
      </w:pPr>
      <w:r w:rsidRPr="00705ACB">
        <w:rPr>
          <w:color w:val="222222"/>
          <w:highlight w:val="white"/>
          <w:rtl/>
        </w:rPr>
        <w:t>كريم العيناوي هو خبير اقتصادي والرئيس التنفيذي لمركز السياسات من أجل الجنوب الجديد. وهو أيضًا نائب الرئيس التنفيذي لجامعة محمد السادس متعددة التخصصات التقنية وعميد قسم العلوم الإنسانية والاقتصادية والاجتماعية بالجامعة...</w:t>
      </w:r>
    </w:p>
    <w:p w14:paraId="14F22669" w14:textId="7494F7C6" w:rsidR="00A84344" w:rsidRDefault="00434AD7" w:rsidP="00ED5F7F">
      <w:pPr>
        <w:bidi/>
        <w:spacing w:before="240"/>
        <w:jc w:val="both"/>
        <w:rPr>
          <w:color w:val="222222"/>
          <w:highlight w:val="white"/>
        </w:rPr>
      </w:pPr>
      <w:hyperlink r:id="rId8" w:history="1">
        <w:r w:rsidRPr="00ED5F7F">
          <w:rPr>
            <w:rStyle w:val="Lienhypertexte"/>
            <w:rtl/>
          </w:rPr>
          <w:t>اقرأ السيرة الذاتية الكاملة</w:t>
        </w:r>
      </w:hyperlink>
      <w:r>
        <w:rPr>
          <w:color w:val="222222"/>
          <w:highlight w:val="white"/>
        </w:rPr>
        <w:t xml:space="preserve"> </w:t>
      </w:r>
    </w:p>
    <w:p w14:paraId="28B83574" w14:textId="77777777" w:rsidR="00A84344" w:rsidRPr="00705ACB" w:rsidRDefault="00434AD7" w:rsidP="00D46518">
      <w:pPr>
        <w:bidi/>
        <w:spacing w:before="240"/>
        <w:jc w:val="both"/>
        <w:rPr>
          <w:color w:val="222222"/>
          <w:highlight w:val="white"/>
        </w:rPr>
      </w:pPr>
      <w:r w:rsidRPr="00705ACB">
        <w:rPr>
          <w:color w:val="222222"/>
          <w:highlight w:val="white"/>
          <w:rtl/>
        </w:rPr>
        <w:t xml:space="preserve">أركبي </w:t>
      </w:r>
      <w:proofErr w:type="spellStart"/>
      <w:r w:rsidRPr="00705ACB">
        <w:rPr>
          <w:color w:val="222222"/>
          <w:highlight w:val="white"/>
          <w:rtl/>
        </w:rPr>
        <w:t>أوكوباي</w:t>
      </w:r>
      <w:proofErr w:type="spellEnd"/>
      <w:r w:rsidRPr="00705ACB">
        <w:rPr>
          <w:color w:val="222222"/>
          <w:highlight w:val="white"/>
          <w:rtl/>
        </w:rPr>
        <w:t xml:space="preserve"> هو أستاذ دولي في الأكاديمية البريطانية العالمية في جامعة </w:t>
      </w:r>
      <w:r w:rsidRPr="00705ACB">
        <w:rPr>
          <w:color w:val="222222"/>
          <w:highlight w:val="white"/>
        </w:rPr>
        <w:t>SOAS</w:t>
      </w:r>
      <w:r w:rsidRPr="00705ACB">
        <w:rPr>
          <w:color w:val="222222"/>
          <w:highlight w:val="white"/>
          <w:rtl/>
        </w:rPr>
        <w:t>، لندن. شغل منصب وزير دولة ومستشار خاص لثلاثة رؤساء وزراء إثيوبيين...</w:t>
      </w:r>
    </w:p>
    <w:p w14:paraId="3DE77C88" w14:textId="4E5D4987" w:rsidR="00A84344" w:rsidRPr="00705ACB" w:rsidRDefault="00434AD7" w:rsidP="00D46518">
      <w:pPr>
        <w:bidi/>
        <w:spacing w:before="240"/>
        <w:jc w:val="both"/>
        <w:rPr>
          <w:color w:val="222222"/>
        </w:rPr>
      </w:pPr>
      <w:hyperlink r:id="rId9" w:history="1">
        <w:r w:rsidRPr="00705ACB">
          <w:rPr>
            <w:rStyle w:val="Lienhypertexte"/>
            <w:rtl/>
          </w:rPr>
          <w:t>اقرأ السيرة الذاتية الكاملة</w:t>
        </w:r>
      </w:hyperlink>
    </w:p>
    <w:p w14:paraId="7F2F8334" w14:textId="77777777" w:rsidR="00E067A4" w:rsidRDefault="00E067A4" w:rsidP="00D46518">
      <w:pPr>
        <w:bidi/>
        <w:spacing w:before="240"/>
        <w:jc w:val="both"/>
        <w:rPr>
          <w:b/>
          <w:bCs/>
          <w:color w:val="0070C0"/>
          <w:lang w:val="fr-FR"/>
        </w:rPr>
      </w:pPr>
    </w:p>
    <w:p w14:paraId="74A13BA1" w14:textId="0FC477AB" w:rsidR="00A84344" w:rsidRDefault="00434AD7" w:rsidP="00E067A4">
      <w:pPr>
        <w:bidi/>
        <w:jc w:val="both"/>
        <w:rPr>
          <w:b/>
          <w:bCs/>
          <w:color w:val="0070C0"/>
        </w:rPr>
      </w:pPr>
      <w:r>
        <w:rPr>
          <w:b/>
          <w:bCs/>
          <w:color w:val="0070C0"/>
          <w:rtl/>
        </w:rPr>
        <w:t>جهات الاتصال الصحفية</w:t>
      </w:r>
    </w:p>
    <w:p w14:paraId="6879819A" w14:textId="77777777" w:rsidR="00A84344" w:rsidRDefault="00434AD7" w:rsidP="00E067A4">
      <w:pPr>
        <w:bidi/>
        <w:jc w:val="both"/>
        <w:rPr>
          <w:b/>
          <w:bCs/>
          <w:color w:val="0070C0"/>
        </w:rPr>
      </w:pPr>
      <w:r>
        <w:rPr>
          <w:b/>
          <w:bCs/>
          <w:rtl/>
        </w:rPr>
        <w:t xml:space="preserve">حسناء </w:t>
      </w:r>
      <w:proofErr w:type="spellStart"/>
      <w:r>
        <w:rPr>
          <w:b/>
          <w:bCs/>
          <w:rtl/>
        </w:rPr>
        <w:t>تاديلي</w:t>
      </w:r>
      <w:proofErr w:type="spellEnd"/>
      <w:r>
        <w:rPr>
          <w:b/>
          <w:bCs/>
          <w:rtl/>
        </w:rPr>
        <w:t xml:space="preserve"> | </w:t>
      </w:r>
      <w:r>
        <w:rPr>
          <w:rtl/>
        </w:rPr>
        <w:t xml:space="preserve">مديرة العلاقات الصحفية | </w:t>
      </w:r>
      <w:r>
        <w:t>h.tadili@policycenter.ma</w:t>
      </w:r>
      <w:r>
        <w:rPr>
          <w:rtl/>
        </w:rPr>
        <w:t xml:space="preserve"> | +212 668 116 069</w:t>
      </w:r>
      <w:r>
        <w:rPr>
          <w:rtl/>
        </w:rPr>
        <w:br/>
      </w:r>
      <w:r>
        <w:rPr>
          <w:b/>
          <w:bCs/>
          <w:rtl/>
        </w:rPr>
        <w:t xml:space="preserve">آلاء جلّال | </w:t>
      </w:r>
      <w:r>
        <w:rPr>
          <w:rtl/>
        </w:rPr>
        <w:t xml:space="preserve">مساعدة العلاقات الصحفية | </w:t>
      </w:r>
      <w:r>
        <w:t>a.jellal@policycenter.ma | +212 666-250958</w:t>
      </w:r>
      <w:r>
        <w:rPr>
          <w:b/>
          <w:bCs/>
        </w:rPr>
        <w:t xml:space="preserve"> </w:t>
      </w:r>
    </w:p>
    <w:p w14:paraId="186DE35D" w14:textId="77777777" w:rsidR="00A84344" w:rsidRDefault="00434AD7" w:rsidP="00E067A4">
      <w:pPr>
        <w:bidi/>
        <w:spacing w:before="240"/>
        <w:jc w:val="both"/>
        <w:rPr>
          <w:rFonts w:ascii="Sakkal Majalla" w:eastAsia="Sakkal Majalla" w:hAnsi="Sakkal Majalla" w:cs="Sakkal Majalla"/>
          <w:b/>
          <w:bCs/>
          <w:color w:val="0070C0"/>
          <w:sz w:val="28"/>
          <w:szCs w:val="28"/>
        </w:rPr>
      </w:pPr>
      <w:r>
        <w:rPr>
          <w:rFonts w:ascii="Sakkal Majalla" w:eastAsia="Sakkal Majalla" w:hAnsi="Sakkal Majalla" w:cs="Sakkal Majalla"/>
          <w:b/>
          <w:bCs/>
          <w:color w:val="0070C0"/>
          <w:sz w:val="28"/>
          <w:szCs w:val="28"/>
          <w:rtl/>
        </w:rPr>
        <w:t>بخصوص مركز السياسات من أجل الجنوب الجديد</w:t>
      </w:r>
    </w:p>
    <w:p w14:paraId="4AB82846" w14:textId="77777777" w:rsidR="00A84344" w:rsidRDefault="00434AD7" w:rsidP="00E067A4">
      <w:pPr>
        <w:bidi/>
        <w:jc w:val="both"/>
        <w:rPr>
          <w:i/>
          <w:iCs/>
          <w:color w:val="1155CC"/>
          <w:highlight w:val="white"/>
          <w:u w:val="single"/>
        </w:rPr>
      </w:pPr>
      <w:r>
        <w:rPr>
          <w:rtl/>
        </w:rPr>
        <w:t>مركز السياسات من أجل الجنوب الجديد (</w:t>
      </w:r>
      <w:r>
        <w:t>PCNS</w:t>
      </w:r>
      <w:r>
        <w:rPr>
          <w:rtl/>
        </w:rPr>
        <w:t>) هو مركز أبحاث مغربي تتمثل مهمته في المساهمة في تحسين السياسات العمومية الاقتصادية منها والاجتماعية والدولية، التي تهم المغرب وأفريقيا، باعتبارهما جزء لا يتجزأ من الجنوب العالمي. وعلى هذا الأساس، يعمل المركز على تعبئة</w:t>
      </w:r>
      <w:r>
        <w:rPr>
          <w:color w:val="222222"/>
          <w:sz w:val="28"/>
          <w:szCs w:val="28"/>
          <w:highlight w:val="white"/>
        </w:rPr>
        <w:t xml:space="preserve"> </w:t>
      </w:r>
      <w:hyperlink r:id="rId10">
        <w:r w:rsidR="00A84344">
          <w:rPr>
            <w:color w:val="0563C1"/>
            <w:sz w:val="28"/>
            <w:szCs w:val="28"/>
            <w:highlight w:val="white"/>
            <w:u w:val="single"/>
            <w:rtl/>
          </w:rPr>
          <w:t>الباحثين</w:t>
        </w:r>
      </w:hyperlink>
      <w:r>
        <w:rPr>
          <w:sz w:val="28"/>
          <w:szCs w:val="28"/>
        </w:rPr>
        <w:t>،</w:t>
      </w:r>
      <w:r>
        <w:rPr>
          <w:rtl/>
        </w:rPr>
        <w:t xml:space="preserve"> ونشر</w:t>
      </w:r>
      <w:r>
        <w:rPr>
          <w:sz w:val="28"/>
          <w:szCs w:val="28"/>
        </w:rPr>
        <w:t xml:space="preserve"> </w:t>
      </w:r>
      <w:hyperlink r:id="rId11">
        <w:r w:rsidR="00A84344">
          <w:rPr>
            <w:color w:val="0563C1"/>
            <w:sz w:val="28"/>
            <w:szCs w:val="28"/>
            <w:highlight w:val="white"/>
            <w:u w:val="single"/>
            <w:rtl/>
          </w:rPr>
          <w:t>أعمالهم</w:t>
        </w:r>
      </w:hyperlink>
      <w:r>
        <w:rPr>
          <w:color w:val="222222"/>
          <w:sz w:val="28"/>
          <w:szCs w:val="28"/>
          <w:highlight w:val="white"/>
        </w:rPr>
        <w:t xml:space="preserve"> </w:t>
      </w:r>
      <w:r>
        <w:rPr>
          <w:rtl/>
        </w:rPr>
        <w:t>والاستفادة من شبكة من الشركاء المرموقين من جميع القارات. وينظم المركز طيلة العام سلسلة من الاجتماعات بأشكال ومستويات مختلفة، من أهمها المؤتمر الدولي السنوي</w:t>
      </w:r>
      <w:r>
        <w:rPr>
          <w:color w:val="222222"/>
          <w:sz w:val="28"/>
          <w:szCs w:val="28"/>
          <w:highlight w:val="white"/>
        </w:rPr>
        <w:t xml:space="preserve"> </w:t>
      </w:r>
      <w:r>
        <w:rPr>
          <w:rtl/>
        </w:rPr>
        <w:t>للحوارات الأطلسية</w:t>
      </w:r>
      <w:r>
        <w:t xml:space="preserve"> «</w:t>
      </w:r>
      <w:r>
        <w:rPr>
          <w:sz w:val="28"/>
          <w:szCs w:val="28"/>
          <w:highlight w:val="white"/>
        </w:rPr>
        <w:t xml:space="preserve"> </w:t>
      </w:r>
      <w:hyperlink r:id="rId12">
        <w:r w:rsidR="00A84344">
          <w:rPr>
            <w:color w:val="1155CC"/>
            <w:highlight w:val="white"/>
            <w:u w:val="single"/>
          </w:rPr>
          <w:t>The Atlantic Dialogues</w:t>
        </w:r>
      </w:hyperlink>
      <w:hyperlink r:id="rId13">
        <w:r w:rsidR="00A84344">
          <w:rPr>
            <w:color w:val="1155CC"/>
            <w:sz w:val="28"/>
            <w:szCs w:val="28"/>
            <w:highlight w:val="white"/>
            <w:u w:val="single"/>
          </w:rPr>
          <w:t xml:space="preserve"> </w:t>
        </w:r>
      </w:hyperlink>
      <w:r>
        <w:t>»</w:t>
      </w:r>
      <w:r>
        <w:rPr>
          <w:rtl/>
        </w:rPr>
        <w:t xml:space="preserve">  و ندوة</w:t>
      </w:r>
      <w:r>
        <w:t xml:space="preserve"> </w:t>
      </w:r>
      <w:r>
        <w:rPr>
          <w:rtl/>
        </w:rPr>
        <w:t>الاقتصاد</w:t>
      </w:r>
      <w:r>
        <w:t xml:space="preserve"> </w:t>
      </w:r>
      <w:r>
        <w:rPr>
          <w:rtl/>
        </w:rPr>
        <w:t>الإفريقي</w:t>
      </w:r>
      <w:hyperlink r:id="rId14">
        <w:r w:rsidR="00A84344">
          <w:rPr>
            <w:color w:val="1155CC"/>
            <w:highlight w:val="white"/>
            <w:u w:val="single"/>
          </w:rPr>
          <w:t>&lt;&lt;Africa Economic Symposium (AES)&gt;&gt;</w:t>
        </w:r>
      </w:hyperlink>
      <w:r>
        <w:rPr>
          <w:rtl/>
        </w:rPr>
        <w:t>والمؤتمر السنوي الأفريقي للسلم والأمن</w:t>
      </w:r>
      <w:hyperlink r:id="rId15">
        <w:r w:rsidR="00A84344">
          <w:rPr>
            <w:sz w:val="28"/>
            <w:szCs w:val="28"/>
          </w:rPr>
          <w:t xml:space="preserve"> </w:t>
        </w:r>
      </w:hyperlink>
      <w:hyperlink r:id="rId16">
        <w:r w:rsidR="00A84344">
          <w:rPr>
            <w:color w:val="1155CC"/>
            <w:sz w:val="28"/>
            <w:szCs w:val="28"/>
            <w:u w:val="single"/>
            <w:rtl/>
          </w:rPr>
          <w:t>أبساكو</w:t>
        </w:r>
      </w:hyperlink>
      <w:hyperlink r:id="rId17">
        <w:r w:rsidR="00A84344">
          <w:rPr>
            <w:color w:val="1155CC"/>
            <w:sz w:val="28"/>
            <w:szCs w:val="28"/>
            <w:u w:val="single"/>
            <w:rtl/>
          </w:rPr>
          <w:t xml:space="preserve"> :</w:t>
        </w:r>
      </w:hyperlink>
      <w:hyperlink r:id="rId18">
        <w:r w:rsidR="00A84344">
          <w:rPr>
            <w:color w:val="1155CC"/>
            <w:sz w:val="28"/>
            <w:szCs w:val="28"/>
            <w:u w:val="single"/>
          </w:rPr>
          <w:t xml:space="preserve">   </w:t>
        </w:r>
      </w:hyperlink>
      <w:hyperlink r:id="rId19">
        <w:r w:rsidR="00A84344">
          <w:rPr>
            <w:color w:val="1155CC"/>
            <w:sz w:val="28"/>
            <w:szCs w:val="28"/>
            <w:highlight w:val="white"/>
            <w:u w:val="single"/>
          </w:rPr>
          <w:t xml:space="preserve">« </w:t>
        </w:r>
      </w:hyperlink>
      <w:hyperlink r:id="rId20">
        <w:r w:rsidR="00A84344">
          <w:rPr>
            <w:color w:val="1155CC"/>
            <w:highlight w:val="white"/>
            <w:u w:val="single"/>
          </w:rPr>
          <w:t>African Peace and Security Annual Conference &gt;&gt;</w:t>
        </w:r>
      </w:hyperlink>
      <w:hyperlink r:id="rId21">
        <w:r w:rsidR="00A84344">
          <w:rPr>
            <w:i/>
            <w:iCs/>
            <w:color w:val="1155CC"/>
            <w:highlight w:val="white"/>
            <w:u w:val="single"/>
          </w:rPr>
          <w:t>.</w:t>
        </w:r>
      </w:hyperlink>
    </w:p>
    <w:p w14:paraId="15EDD5D5" w14:textId="77777777" w:rsidR="00A84344" w:rsidRDefault="00A84344" w:rsidP="00D46518">
      <w:pPr>
        <w:bidi/>
        <w:spacing w:before="240"/>
        <w:jc w:val="both"/>
        <w:rPr>
          <w:color w:val="222222"/>
          <w:sz w:val="22"/>
          <w:szCs w:val="22"/>
          <w:highlight w:val="white"/>
        </w:rPr>
      </w:pPr>
      <w:hyperlink r:id="rId22">
        <w:r>
          <w:rPr>
            <w:color w:val="1155CC"/>
            <w:sz w:val="22"/>
            <w:szCs w:val="22"/>
            <w:highlight w:val="white"/>
            <w:u w:val="single"/>
          </w:rPr>
          <w:t>www.policycenter.ma</w:t>
        </w:r>
      </w:hyperlink>
      <w:r w:rsidR="00434AD7">
        <w:rPr>
          <w:color w:val="222222"/>
          <w:sz w:val="22"/>
          <w:szCs w:val="22"/>
          <w:highlight w:val="white"/>
        </w:rPr>
        <w:t xml:space="preserve"> </w:t>
      </w:r>
    </w:p>
    <w:p w14:paraId="6030FC08" w14:textId="77777777" w:rsidR="00A84344" w:rsidRDefault="00434AD7" w:rsidP="00D46518">
      <w:pPr>
        <w:bidi/>
        <w:spacing w:before="240"/>
        <w:jc w:val="both"/>
        <w:rPr>
          <w:color w:val="222222"/>
          <w:sz w:val="22"/>
          <w:szCs w:val="22"/>
          <w:highlight w:val="white"/>
        </w:rPr>
      </w:pPr>
      <w:r>
        <w:rPr>
          <w:noProof/>
          <w:color w:val="222222"/>
          <w:sz w:val="22"/>
          <w:szCs w:val="22"/>
          <w:highlight w:val="white"/>
        </w:rPr>
        <w:drawing>
          <wp:inline distT="114300" distB="114300" distL="114300" distR="114300" wp14:anchorId="7C525888" wp14:editId="7E1B65AB">
            <wp:extent cx="228600" cy="228600"/>
            <wp:effectExtent l="0" t="0" r="0" b="0"/>
            <wp:docPr id="4" name="image4.png" descr="http://www.ocppc.ma/sites/all/themes/ocppc_en/ressources/images/bg_blocs/rs-fb.png"/>
            <wp:cNvGraphicFramePr/>
            <a:graphic xmlns:a="http://schemas.openxmlformats.org/drawingml/2006/main">
              <a:graphicData uri="http://schemas.openxmlformats.org/drawingml/2006/picture">
                <pic:pic xmlns:pic="http://schemas.openxmlformats.org/drawingml/2006/picture">
                  <pic:nvPicPr>
                    <pic:cNvPr id="0" name="image4.png" descr="http://www.ocppc.ma/sites/all/themes/ocppc_en/ressources/images/bg_blocs/rs-fb.png"/>
                    <pic:cNvPicPr preferRelativeResize="0"/>
                  </pic:nvPicPr>
                  <pic:blipFill>
                    <a:blip r:embed="rId23"/>
                    <a:srcRect/>
                    <a:stretch>
                      <a:fillRect/>
                    </a:stretch>
                  </pic:blipFill>
                  <pic:spPr>
                    <a:xfrm>
                      <a:off x="0" y="0"/>
                      <a:ext cx="228600" cy="228600"/>
                    </a:xfrm>
                    <a:prstGeom prst="rect">
                      <a:avLst/>
                    </a:prstGeom>
                    <a:ln/>
                  </pic:spPr>
                </pic:pic>
              </a:graphicData>
            </a:graphic>
          </wp:inline>
        </w:drawing>
      </w:r>
      <w:r>
        <w:rPr>
          <w:color w:val="222222"/>
          <w:sz w:val="22"/>
          <w:szCs w:val="22"/>
          <w:highlight w:val="white"/>
        </w:rPr>
        <w:t xml:space="preserve">  </w:t>
      </w:r>
      <w:hyperlink r:id="rId24">
        <w:r w:rsidR="00A84344">
          <w:rPr>
            <w:color w:val="222222"/>
            <w:sz w:val="22"/>
            <w:szCs w:val="22"/>
            <w:highlight w:val="white"/>
          </w:rPr>
          <w:t xml:space="preserve"> </w:t>
        </w:r>
      </w:hyperlink>
      <w:hyperlink r:id="rId25">
        <w:r w:rsidR="00A84344">
          <w:rPr>
            <w:noProof/>
            <w:color w:val="222222"/>
            <w:sz w:val="22"/>
            <w:szCs w:val="22"/>
            <w:highlight w:val="white"/>
          </w:rPr>
          <w:drawing>
            <wp:inline distT="114300" distB="114300" distL="114300" distR="114300" wp14:anchorId="7C185285" wp14:editId="4C22ACD4">
              <wp:extent cx="228600" cy="228600"/>
              <wp:effectExtent l="0" t="0" r="0" b="0"/>
              <wp:docPr id="5" name="image3.jpg" descr="http://www.ocppc.ma/sites/all/themes/ocppc_en/ressources/images/bg_blocs/icone%20Flicker.jpg"/>
              <wp:cNvGraphicFramePr/>
              <a:graphic xmlns:a="http://schemas.openxmlformats.org/drawingml/2006/main">
                <a:graphicData uri="http://schemas.openxmlformats.org/drawingml/2006/picture">
                  <pic:pic xmlns:pic="http://schemas.openxmlformats.org/drawingml/2006/picture">
                    <pic:nvPicPr>
                      <pic:cNvPr id="0" name="image3.jpg" descr="http://www.ocppc.ma/sites/all/themes/ocppc_en/ressources/images/bg_blocs/icone%20Flicker.jpg"/>
                      <pic:cNvPicPr preferRelativeResize="0"/>
                    </pic:nvPicPr>
                    <pic:blipFill>
                      <a:blip r:embed="rId26"/>
                      <a:srcRect/>
                      <a:stretch>
                        <a:fillRect/>
                      </a:stretch>
                    </pic:blipFill>
                    <pic:spPr>
                      <a:xfrm>
                        <a:off x="0" y="0"/>
                        <a:ext cx="228600" cy="228600"/>
                      </a:xfrm>
                      <a:prstGeom prst="rect">
                        <a:avLst/>
                      </a:prstGeom>
                      <a:ln/>
                    </pic:spPr>
                  </pic:pic>
                </a:graphicData>
              </a:graphic>
            </wp:inline>
          </w:drawing>
        </w:r>
      </w:hyperlink>
      <w:r>
        <w:rPr>
          <w:color w:val="222222"/>
          <w:sz w:val="22"/>
          <w:szCs w:val="22"/>
          <w:highlight w:val="white"/>
        </w:rPr>
        <w:t xml:space="preserve">   </w:t>
      </w:r>
      <w:r>
        <w:rPr>
          <w:noProof/>
          <w:color w:val="222222"/>
          <w:sz w:val="22"/>
          <w:szCs w:val="22"/>
          <w:highlight w:val="white"/>
        </w:rPr>
        <w:drawing>
          <wp:inline distT="114300" distB="114300" distL="114300" distR="114300" wp14:anchorId="694D2C3C" wp14:editId="50A6F73A">
            <wp:extent cx="228600" cy="228600"/>
            <wp:effectExtent l="0" t="0" r="0" b="0"/>
            <wp:docPr id="2" name="image5.png" descr="http://www.ocppc.ma/sites/all/themes/ocppc_en/ressources/images/bg_blocs/rs-youtube.png"/>
            <wp:cNvGraphicFramePr/>
            <a:graphic xmlns:a="http://schemas.openxmlformats.org/drawingml/2006/main">
              <a:graphicData uri="http://schemas.openxmlformats.org/drawingml/2006/picture">
                <pic:pic xmlns:pic="http://schemas.openxmlformats.org/drawingml/2006/picture">
                  <pic:nvPicPr>
                    <pic:cNvPr id="0" name="image5.png" descr="http://www.ocppc.ma/sites/all/themes/ocppc_en/ressources/images/bg_blocs/rs-youtube.png"/>
                    <pic:cNvPicPr preferRelativeResize="0"/>
                  </pic:nvPicPr>
                  <pic:blipFill>
                    <a:blip r:embed="rId27"/>
                    <a:srcRect/>
                    <a:stretch>
                      <a:fillRect/>
                    </a:stretch>
                  </pic:blipFill>
                  <pic:spPr>
                    <a:xfrm>
                      <a:off x="0" y="0"/>
                      <a:ext cx="228600" cy="228600"/>
                    </a:xfrm>
                    <a:prstGeom prst="rect">
                      <a:avLst/>
                    </a:prstGeom>
                    <a:ln/>
                  </pic:spPr>
                </pic:pic>
              </a:graphicData>
            </a:graphic>
          </wp:inline>
        </w:drawing>
      </w:r>
      <w:r>
        <w:rPr>
          <w:color w:val="222222"/>
          <w:sz w:val="22"/>
          <w:szCs w:val="22"/>
          <w:highlight w:val="white"/>
        </w:rPr>
        <w:t xml:space="preserve">   </w:t>
      </w:r>
      <w:r>
        <w:rPr>
          <w:noProof/>
          <w:color w:val="222222"/>
          <w:sz w:val="22"/>
          <w:szCs w:val="22"/>
          <w:highlight w:val="white"/>
        </w:rPr>
        <w:drawing>
          <wp:inline distT="114300" distB="114300" distL="114300" distR="114300" wp14:anchorId="30674875" wp14:editId="055388EC">
            <wp:extent cx="228600" cy="228600"/>
            <wp:effectExtent l="0" t="0" r="0" b="0"/>
            <wp:docPr id="6" name="image6.png" descr="http://www.ocppc.ma/sites/all/themes/ocppc_en/ressources/images/bg_blocs/rs-tw.png"/>
            <wp:cNvGraphicFramePr/>
            <a:graphic xmlns:a="http://schemas.openxmlformats.org/drawingml/2006/main">
              <a:graphicData uri="http://schemas.openxmlformats.org/drawingml/2006/picture">
                <pic:pic xmlns:pic="http://schemas.openxmlformats.org/drawingml/2006/picture">
                  <pic:nvPicPr>
                    <pic:cNvPr id="0" name="image6.png" descr="http://www.ocppc.ma/sites/all/themes/ocppc_en/ressources/images/bg_blocs/rs-tw.png"/>
                    <pic:cNvPicPr preferRelativeResize="0"/>
                  </pic:nvPicPr>
                  <pic:blipFill>
                    <a:blip r:embed="rId28"/>
                    <a:srcRect/>
                    <a:stretch>
                      <a:fillRect/>
                    </a:stretch>
                  </pic:blipFill>
                  <pic:spPr>
                    <a:xfrm>
                      <a:off x="0" y="0"/>
                      <a:ext cx="228600" cy="228600"/>
                    </a:xfrm>
                    <a:prstGeom prst="rect">
                      <a:avLst/>
                    </a:prstGeom>
                    <a:ln/>
                  </pic:spPr>
                </pic:pic>
              </a:graphicData>
            </a:graphic>
          </wp:inline>
        </w:drawing>
      </w:r>
      <w:r>
        <w:rPr>
          <w:color w:val="222222"/>
          <w:sz w:val="22"/>
          <w:szCs w:val="22"/>
          <w:highlight w:val="white"/>
        </w:rPr>
        <w:t xml:space="preserve">   </w:t>
      </w:r>
      <w:r>
        <w:rPr>
          <w:noProof/>
          <w:color w:val="222222"/>
          <w:sz w:val="22"/>
          <w:szCs w:val="22"/>
          <w:highlight w:val="white"/>
        </w:rPr>
        <w:drawing>
          <wp:inline distT="114300" distB="114300" distL="114300" distR="114300" wp14:anchorId="70B88618" wp14:editId="71FD480B">
            <wp:extent cx="228600" cy="228600"/>
            <wp:effectExtent l="0" t="0" r="0" b="0"/>
            <wp:docPr id="7" name="image7.png" descr="http://www.ocppc.ma/sites/all/themes/ocppc_en/ressources/images/bg_blocs/rs-in.png"/>
            <wp:cNvGraphicFramePr/>
            <a:graphic xmlns:a="http://schemas.openxmlformats.org/drawingml/2006/main">
              <a:graphicData uri="http://schemas.openxmlformats.org/drawingml/2006/picture">
                <pic:pic xmlns:pic="http://schemas.openxmlformats.org/drawingml/2006/picture">
                  <pic:nvPicPr>
                    <pic:cNvPr id="0" name="image7.png" descr="http://www.ocppc.ma/sites/all/themes/ocppc_en/ressources/images/bg_blocs/rs-in.png"/>
                    <pic:cNvPicPr preferRelativeResize="0"/>
                  </pic:nvPicPr>
                  <pic:blipFill>
                    <a:blip r:embed="rId29"/>
                    <a:srcRect/>
                    <a:stretch>
                      <a:fillRect/>
                    </a:stretch>
                  </pic:blipFill>
                  <pic:spPr>
                    <a:xfrm>
                      <a:off x="0" y="0"/>
                      <a:ext cx="228600" cy="228600"/>
                    </a:xfrm>
                    <a:prstGeom prst="rect">
                      <a:avLst/>
                    </a:prstGeom>
                    <a:ln/>
                  </pic:spPr>
                </pic:pic>
              </a:graphicData>
            </a:graphic>
          </wp:inline>
        </w:drawing>
      </w:r>
      <w:r>
        <w:rPr>
          <w:color w:val="222222"/>
          <w:sz w:val="22"/>
          <w:szCs w:val="22"/>
          <w:highlight w:val="white"/>
        </w:rPr>
        <w:t xml:space="preserve">   </w:t>
      </w:r>
      <w:r>
        <w:rPr>
          <w:noProof/>
          <w:color w:val="222222"/>
          <w:sz w:val="22"/>
          <w:szCs w:val="22"/>
          <w:highlight w:val="white"/>
        </w:rPr>
        <w:drawing>
          <wp:inline distT="114300" distB="114300" distL="114300" distR="114300" wp14:anchorId="1CC1BB9E" wp14:editId="4F476C59">
            <wp:extent cx="228600" cy="228600"/>
            <wp:effectExtent l="0" t="0" r="0" b="0"/>
            <wp:docPr id="1" name="image1.png" descr="http://www.ocppc.ma/sites/all/themes/ocppc_en/ressources/images/bg_blocs/rs-rss.png"/>
            <wp:cNvGraphicFramePr/>
            <a:graphic xmlns:a="http://schemas.openxmlformats.org/drawingml/2006/main">
              <a:graphicData uri="http://schemas.openxmlformats.org/drawingml/2006/picture">
                <pic:pic xmlns:pic="http://schemas.openxmlformats.org/drawingml/2006/picture">
                  <pic:nvPicPr>
                    <pic:cNvPr id="0" name="image1.png" descr="http://www.ocppc.ma/sites/all/themes/ocppc_en/ressources/images/bg_blocs/rs-rss.png"/>
                    <pic:cNvPicPr preferRelativeResize="0"/>
                  </pic:nvPicPr>
                  <pic:blipFill>
                    <a:blip r:embed="rId30"/>
                    <a:srcRect/>
                    <a:stretch>
                      <a:fillRect/>
                    </a:stretch>
                  </pic:blipFill>
                  <pic:spPr>
                    <a:xfrm>
                      <a:off x="0" y="0"/>
                      <a:ext cx="228600" cy="228600"/>
                    </a:xfrm>
                    <a:prstGeom prst="rect">
                      <a:avLst/>
                    </a:prstGeom>
                    <a:ln/>
                  </pic:spPr>
                </pic:pic>
              </a:graphicData>
            </a:graphic>
          </wp:inline>
        </w:drawing>
      </w:r>
      <w:r>
        <w:rPr>
          <w:color w:val="222222"/>
          <w:sz w:val="22"/>
          <w:szCs w:val="22"/>
          <w:highlight w:val="white"/>
        </w:rPr>
        <w:t xml:space="preserve">   </w:t>
      </w:r>
      <w:r>
        <w:rPr>
          <w:noProof/>
          <w:color w:val="222222"/>
          <w:sz w:val="22"/>
          <w:szCs w:val="22"/>
          <w:highlight w:val="white"/>
        </w:rPr>
        <w:drawing>
          <wp:inline distT="114300" distB="114300" distL="114300" distR="114300" wp14:anchorId="021464E8" wp14:editId="636FD233">
            <wp:extent cx="228600" cy="228600"/>
            <wp:effectExtent l="0" t="0" r="0" b="0"/>
            <wp:docPr id="3" name="image2.png" descr="http://www.ocppc.ma/sites/all/themes/ocppc_en/ressources/images/bg_blocs/rs-podcast.png"/>
            <wp:cNvGraphicFramePr/>
            <a:graphic xmlns:a="http://schemas.openxmlformats.org/drawingml/2006/main">
              <a:graphicData uri="http://schemas.openxmlformats.org/drawingml/2006/picture">
                <pic:pic xmlns:pic="http://schemas.openxmlformats.org/drawingml/2006/picture">
                  <pic:nvPicPr>
                    <pic:cNvPr id="0" name="image2.png" descr="http://www.ocppc.ma/sites/all/themes/ocppc_en/ressources/images/bg_blocs/rs-podcast.png"/>
                    <pic:cNvPicPr preferRelativeResize="0"/>
                  </pic:nvPicPr>
                  <pic:blipFill>
                    <a:blip r:embed="rId31"/>
                    <a:srcRect/>
                    <a:stretch>
                      <a:fillRect/>
                    </a:stretch>
                  </pic:blipFill>
                  <pic:spPr>
                    <a:xfrm>
                      <a:off x="0" y="0"/>
                      <a:ext cx="228600" cy="228600"/>
                    </a:xfrm>
                    <a:prstGeom prst="rect">
                      <a:avLst/>
                    </a:prstGeom>
                    <a:ln/>
                  </pic:spPr>
                </pic:pic>
              </a:graphicData>
            </a:graphic>
          </wp:inline>
        </w:drawing>
      </w:r>
      <w:r>
        <w:rPr>
          <w:color w:val="222222"/>
          <w:sz w:val="22"/>
          <w:szCs w:val="22"/>
          <w:highlight w:val="white"/>
        </w:rPr>
        <w:t xml:space="preserve"> </w:t>
      </w:r>
    </w:p>
    <w:p w14:paraId="5241ACD3" w14:textId="77777777" w:rsidR="00A84344" w:rsidRDefault="00A84344" w:rsidP="00D46518">
      <w:pPr>
        <w:bidi/>
        <w:spacing w:before="240" w:after="240"/>
        <w:jc w:val="both"/>
        <w:rPr>
          <w:b/>
          <w:bCs/>
          <w:color w:val="0070C0"/>
        </w:rPr>
      </w:pPr>
    </w:p>
    <w:p w14:paraId="3C900666" w14:textId="77777777" w:rsidR="00A84344" w:rsidRDefault="00A84344">
      <w:pPr>
        <w:bidi/>
      </w:pPr>
    </w:p>
    <w:sectPr w:rsidR="00A84344">
      <w:headerReference w:type="default"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05CBD" w14:textId="77777777" w:rsidR="00D55B43" w:rsidRDefault="00D55B43">
      <w:pPr>
        <w:spacing w:line="240" w:lineRule="auto"/>
      </w:pPr>
      <w:r>
        <w:separator/>
      </w:r>
    </w:p>
  </w:endnote>
  <w:endnote w:type="continuationSeparator" w:id="0">
    <w:p w14:paraId="06E84C05" w14:textId="77777777" w:rsidR="00D55B43" w:rsidRDefault="00D55B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charset w:val="B2"/>
    <w:family w:val="auto"/>
    <w:pitch w:val="variable"/>
    <w:sig w:usb0="80002007" w:usb1="80000000" w:usb2="00000008" w:usb3="00000000" w:csb0="000000D3" w:csb1="00000000"/>
    <w:embedBold r:id="rId1" w:fontKey="{B6652112-7BE8-44BE-9D5F-73F3854C9B05}"/>
  </w:font>
  <w:font w:name="Calibri">
    <w:panose1 w:val="020F0502020204030204"/>
    <w:charset w:val="00"/>
    <w:family w:val="swiss"/>
    <w:pitch w:val="variable"/>
    <w:sig w:usb0="E4002EFF" w:usb1="C000247B" w:usb2="00000009" w:usb3="00000000" w:csb0="000001FF" w:csb1="00000000"/>
    <w:embedRegular r:id="rId2" w:fontKey="{C3655F53-767E-4976-8348-F54B77174D50}"/>
  </w:font>
  <w:font w:name="Cambria">
    <w:panose1 w:val="02040503050406030204"/>
    <w:charset w:val="00"/>
    <w:family w:val="roman"/>
    <w:pitch w:val="variable"/>
    <w:sig w:usb0="E00006FF" w:usb1="420024FF" w:usb2="02000000" w:usb3="00000000" w:csb0="0000019F" w:csb1="00000000"/>
    <w:embedRegular r:id="rId3" w:fontKey="{8EFA93F1-177A-44F1-A930-914BE0D6E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C7A1" w14:textId="77777777" w:rsidR="00A84344" w:rsidRDefault="00434AD7">
    <w:pPr>
      <w:bidi/>
      <w:spacing w:line="240" w:lineRule="auto"/>
      <w:rPr>
        <w:b/>
        <w:bCs/>
        <w:color w:val="0A479E"/>
        <w:sz w:val="20"/>
        <w:szCs w:val="20"/>
      </w:rPr>
    </w:pPr>
    <w:r>
      <w:rPr>
        <w:b/>
        <w:bCs/>
        <w:color w:val="0A479E"/>
        <w:sz w:val="20"/>
        <w:szCs w:val="20"/>
        <w:rtl/>
      </w:rPr>
      <w:t>مركز السياسات من أجل الجنوب الجديد</w:t>
    </w:r>
  </w:p>
  <w:p w14:paraId="4B824DB8" w14:textId="77777777" w:rsidR="00A84344" w:rsidRDefault="00434AD7">
    <w:pPr>
      <w:bidi/>
      <w:spacing w:line="240" w:lineRule="auto"/>
      <w:rPr>
        <w:sz w:val="18"/>
        <w:szCs w:val="18"/>
      </w:rPr>
    </w:pPr>
    <w:r>
      <w:rPr>
        <w:sz w:val="18"/>
        <w:szCs w:val="18"/>
        <w:rtl/>
      </w:rPr>
      <w:t>حرم جامعة محمد السادس متعددة التخصصات التقنية، الطريق الدائري للرباط، سلا 11103</w:t>
    </w:r>
  </w:p>
  <w:p w14:paraId="60EC6AB4" w14:textId="4185ADF8" w:rsidR="00A84344" w:rsidRDefault="00434AD7">
    <w:pPr>
      <w:bidi/>
      <w:spacing w:line="240" w:lineRule="auto"/>
    </w:pPr>
    <w:r>
      <w:rPr>
        <w:sz w:val="18"/>
        <w:szCs w:val="18"/>
        <w:rtl/>
      </w:rPr>
      <w:t>الهاتف</w:t>
    </w:r>
    <w:r w:rsidRPr="00E351A5">
      <w:rPr>
        <w:sz w:val="18"/>
        <w:szCs w:val="18"/>
        <w:rtl/>
      </w:rPr>
      <w:t>:</w:t>
    </w:r>
    <w:r w:rsidR="00E351A5">
      <w:rPr>
        <w:sz w:val="18"/>
        <w:szCs w:val="18"/>
      </w:rPr>
      <w:t xml:space="preserve"> </w:t>
    </w:r>
    <w:r w:rsidR="00E351A5" w:rsidRPr="00E351A5">
      <w:rPr>
        <w:sz w:val="18"/>
        <w:szCs w:val="18"/>
      </w:rPr>
      <w:t>+212 (0) 5 37 54 04 04</w:t>
    </w:r>
    <w:r w:rsidR="00E351A5">
      <w:rPr>
        <w:sz w:val="18"/>
        <w:szCs w:val="18"/>
      </w:rPr>
      <w:t xml:space="preserve"> </w:t>
    </w:r>
    <w:r>
      <w:rPr>
        <w:sz w:val="18"/>
        <w:szCs w:val="18"/>
        <w:rtl/>
      </w:rPr>
      <w:t xml:space="preserve">– البريد الإلكتروني: </w:t>
    </w:r>
    <w:r>
      <w:rPr>
        <w:sz w:val="18"/>
        <w:szCs w:val="18"/>
      </w:rPr>
      <w:t>contact@policycenter.ma -</w:t>
    </w:r>
    <w:hyperlink r:id="rId1">
      <w:r w:rsidR="00A84344">
        <w:rPr>
          <w:sz w:val="18"/>
          <w:szCs w:val="18"/>
          <w:u w:val="single"/>
        </w:rPr>
        <w:t>www.policycenter.ma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46074" w14:textId="77777777" w:rsidR="00D55B43" w:rsidRDefault="00D55B43">
      <w:pPr>
        <w:spacing w:line="240" w:lineRule="auto"/>
      </w:pPr>
      <w:r>
        <w:separator/>
      </w:r>
    </w:p>
  </w:footnote>
  <w:footnote w:type="continuationSeparator" w:id="0">
    <w:p w14:paraId="3BE9108A" w14:textId="77777777" w:rsidR="00D55B43" w:rsidRDefault="00D55B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26007" w14:textId="642521B2" w:rsidR="00AA2315" w:rsidRDefault="00AA2315">
    <w:pPr>
      <w:pStyle w:val="En-tte"/>
    </w:pPr>
    <w:r>
      <w:rPr>
        <w:noProof/>
      </w:rPr>
      <w:drawing>
        <wp:anchor distT="0" distB="0" distL="114300" distR="114300" simplePos="0" relativeHeight="251659264" behindDoc="0" locked="0" layoutInCell="1" allowOverlap="1" wp14:anchorId="7F8A8A2B" wp14:editId="58F44ACE">
          <wp:simplePos x="0" y="0"/>
          <wp:positionH relativeFrom="column">
            <wp:posOffset>-114300</wp:posOffset>
          </wp:positionH>
          <wp:positionV relativeFrom="paragraph">
            <wp:posOffset>-304800</wp:posOffset>
          </wp:positionV>
          <wp:extent cx="1953816" cy="571500"/>
          <wp:effectExtent l="0" t="0" r="8890" b="0"/>
          <wp:wrapNone/>
          <wp:docPr id="1323746339" name="Image 1" descr="Une image contenant texte, capture d’écran,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6339" name="Image 1" descr="Une image contenant texte, capture d’écran, Police, Graphique&#10;&#10;Le contenu généré par l’IA peut être incorrect."/>
                  <pic:cNvPicPr/>
                </pic:nvPicPr>
                <pic:blipFill rotWithShape="1">
                  <a:blip r:embed="rId1">
                    <a:extLst>
                      <a:ext uri="{28A0092B-C50C-407E-A947-70E740481C1C}">
                        <a14:useLocalDpi xmlns:a14="http://schemas.microsoft.com/office/drawing/2010/main" val="0"/>
                      </a:ext>
                    </a:extLst>
                  </a:blip>
                  <a:srcRect l="19070" t="37070" r="20634" b="34551"/>
                  <a:stretch>
                    <a:fillRect/>
                  </a:stretch>
                </pic:blipFill>
                <pic:spPr bwMode="auto">
                  <a:xfrm>
                    <a:off x="0" y="0"/>
                    <a:ext cx="1953816"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344"/>
    <w:rsid w:val="0001144A"/>
    <w:rsid w:val="0008774A"/>
    <w:rsid w:val="00090CD8"/>
    <w:rsid w:val="00097855"/>
    <w:rsid w:val="000F3207"/>
    <w:rsid w:val="001F4C97"/>
    <w:rsid w:val="001F62C5"/>
    <w:rsid w:val="002B4987"/>
    <w:rsid w:val="002C7B94"/>
    <w:rsid w:val="00322147"/>
    <w:rsid w:val="00390905"/>
    <w:rsid w:val="003F5E2F"/>
    <w:rsid w:val="00434AD7"/>
    <w:rsid w:val="00441921"/>
    <w:rsid w:val="004E56A5"/>
    <w:rsid w:val="00580154"/>
    <w:rsid w:val="005A0CF1"/>
    <w:rsid w:val="005A1287"/>
    <w:rsid w:val="005A510D"/>
    <w:rsid w:val="005B254E"/>
    <w:rsid w:val="006503D3"/>
    <w:rsid w:val="006E6150"/>
    <w:rsid w:val="00705ACB"/>
    <w:rsid w:val="007131F5"/>
    <w:rsid w:val="00732F1B"/>
    <w:rsid w:val="007538B1"/>
    <w:rsid w:val="00793D2D"/>
    <w:rsid w:val="007F05E0"/>
    <w:rsid w:val="008E75DB"/>
    <w:rsid w:val="008F1887"/>
    <w:rsid w:val="0091389E"/>
    <w:rsid w:val="00940B37"/>
    <w:rsid w:val="00942C7F"/>
    <w:rsid w:val="00972069"/>
    <w:rsid w:val="009E615B"/>
    <w:rsid w:val="00A06EB2"/>
    <w:rsid w:val="00A84344"/>
    <w:rsid w:val="00AA2315"/>
    <w:rsid w:val="00AD7146"/>
    <w:rsid w:val="00B9326F"/>
    <w:rsid w:val="00BD235E"/>
    <w:rsid w:val="00C85870"/>
    <w:rsid w:val="00C9622D"/>
    <w:rsid w:val="00D11050"/>
    <w:rsid w:val="00D46518"/>
    <w:rsid w:val="00D55B43"/>
    <w:rsid w:val="00D75311"/>
    <w:rsid w:val="00DE2CDE"/>
    <w:rsid w:val="00E067A4"/>
    <w:rsid w:val="00E351A5"/>
    <w:rsid w:val="00E65899"/>
    <w:rsid w:val="00ED5F7F"/>
    <w:rsid w:val="00F3360B"/>
    <w:rsid w:val="00FF0DD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5194B"/>
  <w15:docId w15:val="{1515F933-BBDD-4D71-9C56-A4B9C418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jc w:val="center"/>
      <w:outlineLvl w:val="0"/>
    </w:pPr>
    <w:rPr>
      <w:sz w:val="38"/>
      <w:szCs w:val="38"/>
    </w:rPr>
  </w:style>
  <w:style w:type="paragraph" w:styleId="Titre2">
    <w:name w:val="heading 2"/>
    <w:basedOn w:val="Normal"/>
    <w:next w:val="Normal"/>
    <w:uiPriority w:val="9"/>
    <w:semiHidden/>
    <w:unhideWhenUsed/>
    <w:qFormat/>
    <w:pPr>
      <w:keepNext/>
      <w:keepLines/>
      <w:spacing w:before="360" w:after="120"/>
      <w:outlineLvl w:val="1"/>
    </w:pPr>
    <w:rPr>
      <w:b/>
      <w:bCs/>
      <w:sz w:val="26"/>
      <w:szCs w:val="26"/>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En-tte">
    <w:name w:val="header"/>
    <w:basedOn w:val="Normal"/>
    <w:link w:val="En-tteCar"/>
    <w:uiPriority w:val="99"/>
    <w:unhideWhenUsed/>
    <w:rsid w:val="00AA2315"/>
    <w:pPr>
      <w:tabs>
        <w:tab w:val="center" w:pos="4536"/>
        <w:tab w:val="right" w:pos="9072"/>
      </w:tabs>
      <w:spacing w:line="240" w:lineRule="auto"/>
    </w:pPr>
  </w:style>
  <w:style w:type="character" w:customStyle="1" w:styleId="En-tteCar">
    <w:name w:val="En-tête Car"/>
    <w:basedOn w:val="Policepardfaut"/>
    <w:link w:val="En-tte"/>
    <w:uiPriority w:val="99"/>
    <w:rsid w:val="00AA2315"/>
  </w:style>
  <w:style w:type="paragraph" w:styleId="Pieddepage">
    <w:name w:val="footer"/>
    <w:basedOn w:val="Normal"/>
    <w:link w:val="PieddepageCar"/>
    <w:uiPriority w:val="99"/>
    <w:unhideWhenUsed/>
    <w:rsid w:val="00AA2315"/>
    <w:pPr>
      <w:tabs>
        <w:tab w:val="center" w:pos="4536"/>
        <w:tab w:val="right" w:pos="9072"/>
      </w:tabs>
      <w:spacing w:line="240" w:lineRule="auto"/>
    </w:pPr>
  </w:style>
  <w:style w:type="character" w:customStyle="1" w:styleId="PieddepageCar">
    <w:name w:val="Pied de page Car"/>
    <w:basedOn w:val="Policepardfaut"/>
    <w:link w:val="Pieddepage"/>
    <w:uiPriority w:val="99"/>
    <w:rsid w:val="00AA2315"/>
  </w:style>
  <w:style w:type="character" w:styleId="lev">
    <w:name w:val="Strong"/>
    <w:basedOn w:val="Policepardfaut"/>
    <w:uiPriority w:val="22"/>
    <w:qFormat/>
    <w:rsid w:val="00322147"/>
    <w:rPr>
      <w:b/>
      <w:bCs/>
    </w:rPr>
  </w:style>
  <w:style w:type="character" w:styleId="Lienhypertexte">
    <w:name w:val="Hyperlink"/>
    <w:basedOn w:val="Policepardfaut"/>
    <w:uiPriority w:val="99"/>
    <w:unhideWhenUsed/>
    <w:rsid w:val="00ED5F7F"/>
    <w:rPr>
      <w:color w:val="0000FF" w:themeColor="hyperlink"/>
      <w:u w:val="single"/>
    </w:rPr>
  </w:style>
  <w:style w:type="character" w:styleId="Mentionnonrsolue">
    <w:name w:val="Unresolved Mention"/>
    <w:basedOn w:val="Policepardfaut"/>
    <w:uiPriority w:val="99"/>
    <w:semiHidden/>
    <w:unhideWhenUsed/>
    <w:rsid w:val="00ED5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d.policycenter.ma/" TargetMode="External"/><Relationship Id="rId18" Type="http://schemas.openxmlformats.org/officeDocument/2006/relationships/hyperlink" Target="https://www.policycenter.ma/apsaco-event" TargetMode="External"/><Relationship Id="rId26"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hyperlink" Target="https://www.policycenter.ma/apsaco-event" TargetMode="External"/><Relationship Id="rId34" Type="http://schemas.openxmlformats.org/officeDocument/2006/relationships/fontTable" Target="fontTable.xml"/><Relationship Id="rId7" Type="http://schemas.openxmlformats.org/officeDocument/2006/relationships/hyperlink" Target="https://www.policycenter.ma/oxford-handbook-economy-morocco" TargetMode="External"/><Relationship Id="rId12" Type="http://schemas.openxmlformats.org/officeDocument/2006/relationships/hyperlink" Target="https://ad.policycenter.ma/" TargetMode="External"/><Relationship Id="rId17" Type="http://schemas.openxmlformats.org/officeDocument/2006/relationships/hyperlink" Target="https://www.policycenter.ma/apsaco-event" TargetMode="External"/><Relationship Id="rId25" Type="http://schemas.openxmlformats.org/officeDocument/2006/relationships/hyperlink" Target="https://www.flickr.com/photos/142333681@N04/album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policycenter.ma/apsaco-event" TargetMode="External"/><Relationship Id="rId20" Type="http://schemas.openxmlformats.org/officeDocument/2006/relationships/hyperlink" Target="https://www.policycenter.ma/apsaco-event"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olicycenter.ma/publications/year/2019" TargetMode="External"/><Relationship Id="rId24" Type="http://schemas.openxmlformats.org/officeDocument/2006/relationships/hyperlink" Target="https://www.flickr.com/photos/142333681@N04/albums"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policycenter.ma/apsaco-event" TargetMode="External"/><Relationship Id="rId23" Type="http://schemas.openxmlformats.org/officeDocument/2006/relationships/image" Target="media/image1.png"/><Relationship Id="rId28" Type="http://schemas.openxmlformats.org/officeDocument/2006/relationships/image" Target="media/image4.png"/><Relationship Id="rId10" Type="http://schemas.openxmlformats.org/officeDocument/2006/relationships/hyperlink" Target="http://www.policycenter.ma/experts" TargetMode="External"/><Relationship Id="rId19" Type="http://schemas.openxmlformats.org/officeDocument/2006/relationships/hyperlink" Target="https://www.policycenter.ma/apsaco-event"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policycenter.ma/expertexterne/arkebe-oqubay-metiku" TargetMode="External"/><Relationship Id="rId14" Type="http://schemas.openxmlformats.org/officeDocument/2006/relationships/hyperlink" Target="https://www.policycenter.ma/aes" TargetMode="External"/><Relationship Id="rId22" Type="http://schemas.openxmlformats.org/officeDocument/2006/relationships/hyperlink" Target="http://www.policycenter.m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hyperlink" Target="https://www.policycenter.ma/experts/el-aynaou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policycenter.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E70C1-4121-4A9E-B186-F9D218DC6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1247</Words>
  <Characters>6874</Characters>
  <Application>Microsoft Office Word</Application>
  <DocSecurity>0</DocSecurity>
  <Lines>99</Lines>
  <Paragraphs>44</Paragraphs>
  <ScaleCrop>false</ScaleCrop>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Alae Jellal</dc:creator>
  <cp:lastModifiedBy>Hasnaa Tadili</cp:lastModifiedBy>
  <cp:revision>2</cp:revision>
  <dcterms:created xsi:type="dcterms:W3CDTF">2026-04-06T09:31:00Z</dcterms:created>
  <dcterms:modified xsi:type="dcterms:W3CDTF">2026-04-06T09:31:00Z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e25d4b94-7ce8-4182-9013-a7e9a73c4848</vt:lpwstr>
  </property>
</Properties>
</file>